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EEA4" w14:textId="77777777" w:rsidR="00DF394D" w:rsidRPr="00DF394D" w:rsidRDefault="00DF394D" w:rsidP="00DF394D">
      <w:pPr>
        <w:rPr>
          <w:rFonts w:ascii="Times New Roman" w:hAnsi="Times New Roman" w:cs="Times New Roman"/>
        </w:rPr>
      </w:pPr>
      <w:r w:rsidRPr="00DF394D">
        <w:rPr>
          <w:rFonts w:ascii="Times New Roman" w:hAnsi="Times New Roman" w:cs="Times New Roman"/>
          <w:b/>
          <w:bCs/>
        </w:rPr>
        <w:t>LIETUVOS DIDŽIOSIOS KUNIGAIKŠTYSTĖS SKYRIUS</w:t>
      </w:r>
    </w:p>
    <w:p w14:paraId="7BA20236" w14:textId="77777777" w:rsidR="00DF394D" w:rsidRPr="00DF394D" w:rsidRDefault="00DF394D" w:rsidP="00DF394D">
      <w:pPr>
        <w:rPr>
          <w:rFonts w:ascii="Times New Roman" w:hAnsi="Times New Roman" w:cs="Times New Roman"/>
        </w:rPr>
      </w:pPr>
      <w:r w:rsidRPr="00DF394D">
        <w:rPr>
          <w:rFonts w:ascii="Times New Roman" w:hAnsi="Times New Roman" w:cs="Times New Roman"/>
          <w:b/>
          <w:bCs/>
        </w:rPr>
        <w:t>Programa – Lietuvos istoriografijos paminklai</w:t>
      </w:r>
    </w:p>
    <w:p w14:paraId="113BBC8B"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1. </w:t>
      </w:r>
      <w:r w:rsidRPr="00DF394D">
        <w:rPr>
          <w:rFonts w:ascii="Times New Roman" w:hAnsi="Times New Roman" w:cs="Times New Roman"/>
          <w:b/>
          <w:bCs/>
        </w:rPr>
        <w:t xml:space="preserve">Mokslo kryptis: </w:t>
      </w:r>
      <w:r w:rsidRPr="00DF394D">
        <w:rPr>
          <w:rFonts w:ascii="Times New Roman" w:hAnsi="Times New Roman" w:cs="Times New Roman"/>
        </w:rPr>
        <w:t>Lietuvos visuomenės ir valstybės raida iki XXI amžiaus pradžios (istorija ir istoriografija, pagalbiniai mokslai).</w:t>
      </w:r>
    </w:p>
    <w:p w14:paraId="3BBCDBC4"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2. </w:t>
      </w:r>
      <w:r w:rsidRPr="00DF394D">
        <w:rPr>
          <w:rFonts w:ascii="Times New Roman" w:hAnsi="Times New Roman" w:cs="Times New Roman"/>
          <w:b/>
          <w:bCs/>
        </w:rPr>
        <w:t>Programos pavadinimas:</w:t>
      </w:r>
      <w:r w:rsidRPr="00DF394D">
        <w:rPr>
          <w:rFonts w:ascii="Times New Roman" w:hAnsi="Times New Roman" w:cs="Times New Roman"/>
        </w:rPr>
        <w:t xml:space="preserve"> „Lietuvos istoriografijos paminklai“.</w:t>
      </w:r>
    </w:p>
    <w:p w14:paraId="5747BBAE"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3. </w:t>
      </w:r>
      <w:r w:rsidRPr="00DF394D">
        <w:rPr>
          <w:rFonts w:ascii="Times New Roman" w:hAnsi="Times New Roman" w:cs="Times New Roman"/>
          <w:b/>
          <w:bCs/>
        </w:rPr>
        <w:t>Programos vadovė: </w:t>
      </w:r>
      <w:r w:rsidRPr="00DF394D">
        <w:rPr>
          <w:rFonts w:ascii="Times New Roman" w:hAnsi="Times New Roman" w:cs="Times New Roman"/>
        </w:rPr>
        <w:t>vyriausioji m. b., habil. dr., doc. Ingė Lukšaitė</w:t>
      </w:r>
    </w:p>
    <w:p w14:paraId="75F7D501"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4. </w:t>
      </w:r>
      <w:r w:rsidRPr="00DF394D">
        <w:rPr>
          <w:rFonts w:ascii="Times New Roman" w:hAnsi="Times New Roman" w:cs="Times New Roman"/>
          <w:b/>
          <w:bCs/>
        </w:rPr>
        <w:t>Programos vykdymo terminai:</w:t>
      </w:r>
      <w:r w:rsidRPr="00DF394D">
        <w:rPr>
          <w:rFonts w:ascii="Times New Roman" w:hAnsi="Times New Roman" w:cs="Times New Roman"/>
        </w:rPr>
        <w:t xml:space="preserve"> pradžia 1998 m. – pabaiga 2009 m.; pirmas etapas – 1998 m. – 2003 m., antrasis etapas – 2004 m. – 2009 m.</w:t>
      </w:r>
    </w:p>
    <w:p w14:paraId="3FB37C8D"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5.</w:t>
      </w:r>
      <w:r w:rsidRPr="00DF394D">
        <w:rPr>
          <w:rFonts w:ascii="Times New Roman" w:hAnsi="Times New Roman" w:cs="Times New Roman"/>
          <w:b/>
          <w:bCs/>
        </w:rPr>
        <w:t xml:space="preserve"> Programos uždaviniai ir tikslas</w:t>
      </w:r>
      <w:r w:rsidRPr="00DF394D">
        <w:rPr>
          <w:rFonts w:ascii="Times New Roman" w:hAnsi="Times New Roman" w:cs="Times New Roman"/>
        </w:rPr>
        <w:t xml:space="preserve"> yra surasti iki šiol neskelbtus arba neįvestus į humanitarinių   mokslų apyvartą reikšmingus XVI–XVIII a. Lietuvos ir Baltijos regiono istoriografijos paminklų rankraščius arba retus spaudinius, paskelbti juos originalo kalba ir jų vertimą į lietuvių kalbą; pažinti XVI–XVIII a. Lietuvos ir Baltijos regiono istoriografijos raidą, jos įnašą į bendrąją mentaliteto raidą, kultūrų komunikaciją, besireiškiančią skelbiamuose istorijos veikaluose.</w:t>
      </w:r>
    </w:p>
    <w:p w14:paraId="63BE0A5B"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6. </w:t>
      </w:r>
      <w:r w:rsidRPr="00DF394D">
        <w:rPr>
          <w:rFonts w:ascii="Times New Roman" w:hAnsi="Times New Roman" w:cs="Times New Roman"/>
          <w:b/>
          <w:bCs/>
        </w:rPr>
        <w:t>Pirmojo etapo mokslinių tyrimų rezultatai</w:t>
      </w:r>
      <w:r w:rsidRPr="00DF394D">
        <w:rPr>
          <w:rFonts w:ascii="Times New Roman" w:hAnsi="Times New Roman" w:cs="Times New Roman"/>
        </w:rPr>
        <w:t>. Ieškomi, skelbiami ir tiriami istoriografijos veikalai, turintys reikšmę kelių humanitarinių mokslų – istorijos, kultūros istorijos, mentaliteto raidos, literatūros ir kalbos istorijos, knygotyros tyrimams ir vieno kurio laikotarpio, temos ar įvykio interpretacijai skirti nedidelių apimčių tekstai ar jų teminiai rinkiniai.</w:t>
      </w:r>
    </w:p>
    <w:p w14:paraId="0CA03CCC"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       Per pirmąjį etapą parengti, tirti ir išleisti: 1) klaipėdiečio istoriko Mato Pretorijaus (apie 1635-1704) rankraščio „Deliciae Prussicae oder Preussische Schaubühne“ („Prūsijos įdomybės, arba Prūsijos regykla“), kurį sudaro 18 knygų, apie 2000 psl. teksto) I-ąjį tomą: Matas Pretorijus </w:t>
      </w:r>
      <w:r w:rsidRPr="00DF394D">
        <w:rPr>
          <w:rFonts w:ascii="Times New Roman" w:hAnsi="Times New Roman" w:cs="Times New Roman"/>
          <w:i/>
          <w:iCs/>
        </w:rPr>
        <w:t>Prūsijos įdomybės arba Prūsijos regykla</w:t>
      </w:r>
      <w:r w:rsidRPr="00DF394D">
        <w:rPr>
          <w:rFonts w:ascii="Times New Roman" w:hAnsi="Times New Roman" w:cs="Times New Roman"/>
        </w:rPr>
        <w:t xml:space="preserve"> / Matthaeus Praetorius, </w:t>
      </w:r>
      <w:r w:rsidRPr="00DF394D">
        <w:rPr>
          <w:rFonts w:ascii="Times New Roman" w:hAnsi="Times New Roman" w:cs="Times New Roman"/>
          <w:i/>
          <w:iCs/>
        </w:rPr>
        <w:t>Deliciae Prussicae, oder</w:t>
      </w:r>
      <w:r w:rsidRPr="00DF394D">
        <w:rPr>
          <w:rFonts w:ascii="Times New Roman" w:hAnsi="Times New Roman" w:cs="Times New Roman"/>
        </w:rPr>
        <w:t xml:space="preserve"> </w:t>
      </w:r>
      <w:r w:rsidRPr="00DF394D">
        <w:rPr>
          <w:rFonts w:ascii="Times New Roman" w:hAnsi="Times New Roman" w:cs="Times New Roman"/>
          <w:i/>
          <w:iCs/>
        </w:rPr>
        <w:t>Preussische Schaubühne</w:t>
      </w:r>
      <w:r w:rsidRPr="00DF394D">
        <w:rPr>
          <w:rFonts w:ascii="Times New Roman" w:hAnsi="Times New Roman" w:cs="Times New Roman"/>
        </w:rPr>
        <w:t xml:space="preserve">, t. 1, sud. I. Lukšaitė, Vilnius: Pradai, 1999, p. 737; 2) antrąjį M. Pretorijaus veikalo publikacijos tomą įteikti LII leidyklai. Numatomi 7 publikacijos tomai. 3) Prūsijos karalystės lituanisto, Karaliaučiaus karališkos vokiečių mokslo draugijos garbės nario Gotfrydo Ostermejerio (1716–1800) neskelbtų lituanistinių rankraščių rinkinį </w:t>
      </w:r>
      <w:r w:rsidRPr="00DF394D">
        <w:rPr>
          <w:rFonts w:ascii="Times New Roman" w:hAnsi="Times New Roman" w:cs="Times New Roman"/>
          <w:i/>
          <w:iCs/>
        </w:rPr>
        <w:t>Keturi Gotfrydo Ostermejerio rankraščiai</w:t>
      </w:r>
      <w:r w:rsidRPr="00DF394D">
        <w:rPr>
          <w:rFonts w:ascii="Times New Roman" w:hAnsi="Times New Roman" w:cs="Times New Roman"/>
        </w:rPr>
        <w:t xml:space="preserve">, parengė Vilija Gerulaitienė, Vilnius: Žara, 2002, 159 p.; 4) Lietuvos DK diplomato ir literato Elijo Pilgrimovijaus (?–1605) veikalą: Elijas Pilgrimovijus, </w:t>
      </w:r>
      <w:r w:rsidRPr="00DF394D">
        <w:rPr>
          <w:rFonts w:ascii="Times New Roman" w:hAnsi="Times New Roman" w:cs="Times New Roman"/>
          <w:i/>
          <w:iCs/>
        </w:rPr>
        <w:t xml:space="preserve">Didžioji Leono Sapiegos pasiuntinybė į Maskvą 1600–1601 m., </w:t>
      </w:r>
      <w:r w:rsidRPr="00DF394D">
        <w:rPr>
          <w:rFonts w:ascii="Times New Roman" w:hAnsi="Times New Roman" w:cs="Times New Roman"/>
        </w:rPr>
        <w:t>parengė Jūratė Kiaupienė, Vilnius: Žara, 2002.</w:t>
      </w:r>
    </w:p>
    <w:p w14:paraId="7A491B9F"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7. </w:t>
      </w:r>
      <w:r w:rsidRPr="00DF394D">
        <w:rPr>
          <w:rFonts w:ascii="Times New Roman" w:hAnsi="Times New Roman" w:cs="Times New Roman"/>
          <w:b/>
          <w:bCs/>
        </w:rPr>
        <w:t xml:space="preserve">Programą 1998-2003 m. vykdė: </w:t>
      </w:r>
      <w:r w:rsidRPr="00DF394D">
        <w:rPr>
          <w:rFonts w:ascii="Times New Roman" w:hAnsi="Times New Roman" w:cs="Times New Roman"/>
        </w:rPr>
        <w:t>habil. dr. Ingė Lukšaitė, dr. Jūratė Kiaupienė, dr. Jolita Sarcevičienė, dr. Mintautas Čiurinskas, specialistė Vilija Gerulaitienė.</w:t>
      </w:r>
    </w:p>
    <w:p w14:paraId="61B5A7D5"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8</w:t>
      </w:r>
      <w:r w:rsidRPr="00DF394D">
        <w:rPr>
          <w:rFonts w:ascii="Times New Roman" w:hAnsi="Times New Roman" w:cs="Times New Roman"/>
          <w:b/>
          <w:bCs/>
        </w:rPr>
        <w:t>.   Mokslinių tyrimų tikslai ir uždaviniai antrajam programos etapui 2004 m. – 2009 m.</w:t>
      </w:r>
      <w:r w:rsidRPr="00DF394D">
        <w:rPr>
          <w:rFonts w:ascii="Times New Roman" w:hAnsi="Times New Roman" w:cs="Times New Roman"/>
        </w:rPr>
        <w:t>. Programos vykdytojai laikosi tų pačių bendrųjų ilgalaikės programos tikslų ir uždavinių.</w:t>
      </w:r>
    </w:p>
    <w:p w14:paraId="10F48700"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9.</w:t>
      </w:r>
      <w:r w:rsidRPr="00DF394D">
        <w:rPr>
          <w:rFonts w:ascii="Times New Roman" w:hAnsi="Times New Roman" w:cs="Times New Roman"/>
          <w:b/>
          <w:bCs/>
        </w:rPr>
        <w:t xml:space="preserve"> Antrame programos etape planuojami konkretūs darbai</w:t>
      </w:r>
      <w:r w:rsidRPr="00DF394D">
        <w:rPr>
          <w:rFonts w:ascii="Times New Roman" w:hAnsi="Times New Roman" w:cs="Times New Roman"/>
        </w:rPr>
        <w:t xml:space="preserve">. Antrajame programos etape numatoma tęsti istoriografijos paminklų rankraščių paieškas. Planuojama tęsti M. Pretorijaus veikalo rankraščio „Deliciae Prussicae oder Preussische Schaubühne“ („Prūsijos įdomybės, arba Prūsijos regykla“) parengimą spaudai ir tyrimus. Numatyta parengti spaudai III M. Pretorijaus veikalo tomą: IV–V–VI knygas „Senovės prūsų idololatrija“, „Senovės prūsų šventės“, „Senovės </w:t>
      </w:r>
      <w:r w:rsidRPr="00DF394D">
        <w:rPr>
          <w:rFonts w:ascii="Times New Roman" w:hAnsi="Times New Roman" w:cs="Times New Roman"/>
        </w:rPr>
        <w:lastRenderedPageBreak/>
        <w:t>prūsų konsekracijos“, viso 48 a. l. apimties vokiečių-lietuvių kalbomis ir IV tomą :  VII knygą „Prūsų bažnyčios kronika“, viso 52 a. l.</w:t>
      </w:r>
    </w:p>
    <w:p w14:paraId="0FEBBEB4"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Numatyta praplėsti programą tekstų rinkiniais, kurie yra šaltiniai Centrinės ir Vakarų Europos elito požiūriui į Lietuvos istorijos įvykius pažinti. Konkrečiai numatoma surinkti ir parengti spaudai rinkinį apie Lietuvos DK 1514 m. mūšio prie Oršos interpretacijas centrinės ir vakarų Europos spaudoje, rinkinio sudarytojas ir parengėjas dr. M. Čiurinskas. Parengti monografija su teminiu priedu – XVI a. antros pusės – XVII a. pirmos pusės tekstų rinkiniu „Lietuvos DK didikės proginėje literatūroje“, autorė ir tekstų rinkinio sudarytoja dr. Jolita Sarcevičienė.</w:t>
      </w:r>
    </w:p>
    <w:p w14:paraId="61FFBF9A" w14:textId="77777777" w:rsidR="00DF394D" w:rsidRPr="00DF394D" w:rsidRDefault="00DF394D" w:rsidP="00DF394D">
      <w:pPr>
        <w:rPr>
          <w:rFonts w:ascii="Times New Roman" w:hAnsi="Times New Roman" w:cs="Times New Roman"/>
        </w:rPr>
      </w:pPr>
      <w:r w:rsidRPr="00DF394D">
        <w:rPr>
          <w:rFonts w:ascii="Times New Roman" w:hAnsi="Times New Roman" w:cs="Times New Roman"/>
          <w:b/>
          <w:bCs/>
        </w:rPr>
        <w:t>Svarbesni darbai paskelbti nuo programos vykdymo pradžios</w:t>
      </w:r>
    </w:p>
    <w:p w14:paraId="2B666A56" w14:textId="77777777" w:rsidR="00DF394D" w:rsidRPr="00DF394D" w:rsidRDefault="00DF394D" w:rsidP="00DF394D">
      <w:pPr>
        <w:rPr>
          <w:rFonts w:ascii="Times New Roman" w:hAnsi="Times New Roman" w:cs="Times New Roman"/>
        </w:rPr>
      </w:pPr>
      <w:r w:rsidRPr="00DF394D">
        <w:rPr>
          <w:rFonts w:ascii="Times New Roman" w:hAnsi="Times New Roman" w:cs="Times New Roman"/>
          <w:b/>
          <w:bCs/>
        </w:rPr>
        <w:t>Knygos</w:t>
      </w:r>
      <w:r w:rsidRPr="00DF394D">
        <w:rPr>
          <w:rFonts w:ascii="Times New Roman" w:hAnsi="Times New Roman" w:cs="Times New Roman"/>
        </w:rPr>
        <w:t>:</w:t>
      </w:r>
    </w:p>
    <w:p w14:paraId="130A3498"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1. Matas Pretorijus, </w:t>
      </w:r>
      <w:r w:rsidRPr="00DF394D">
        <w:rPr>
          <w:rFonts w:ascii="Times New Roman" w:hAnsi="Times New Roman" w:cs="Times New Roman"/>
          <w:i/>
          <w:iCs/>
        </w:rPr>
        <w:t>Prūsijos įdomybės, arba Prūsijos regykla // Deliciae Prussicae, oder Preussische Schaubühne</w:t>
      </w:r>
      <w:r w:rsidRPr="00DF394D">
        <w:rPr>
          <w:rFonts w:ascii="Times New Roman" w:hAnsi="Times New Roman" w:cs="Times New Roman"/>
        </w:rPr>
        <w:t>, Vilnius: Pradai, 1999. T 1: Prūsijos įdomybių santrauka // Syllabus Deliciae Prussicae; kn. 1: Prūsijos onomasija // Onomasia Prussiae, sudarė I. Lukšaitė; LII, 737 p.; parengė I. Lukšaitė ir V. Gerulaitienė; įvadas – I. Lukšaitė „Matas Pretorijus – Prūsijos kultūros istorikas. Gyvenimas, veikla ir mokslinė kūryba // Matthäus Prätorius – Geschichtsschreiber der preusischen Kultur. Leben, Werk, und Wissenschaftliches Schaffen“, p. 9–140 ir dalykiniai bei bibliografiniai komentarai; V. Gerulaitienė – teksto originalo kalba parengimas spaudai ir archeografiniai komentarai bei vertimas į lietuvių kalbą; E. Ulčinaitė – teksto dalių lotynų kalba parengimas spaudai ir vertimas.</w:t>
      </w:r>
    </w:p>
    <w:p w14:paraId="09906C69"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2. Matas Pretorijus, </w:t>
      </w:r>
      <w:r w:rsidRPr="00DF394D">
        <w:rPr>
          <w:rFonts w:ascii="Times New Roman" w:hAnsi="Times New Roman" w:cs="Times New Roman"/>
          <w:i/>
          <w:iCs/>
        </w:rPr>
        <w:t>Prūsijos įdomybės arba Prūsijos regykla</w:t>
      </w:r>
      <w:r w:rsidRPr="00DF394D">
        <w:rPr>
          <w:rFonts w:ascii="Times New Roman" w:hAnsi="Times New Roman" w:cs="Times New Roman"/>
        </w:rPr>
        <w:t xml:space="preserve">, t. 2: </w:t>
      </w:r>
      <w:r w:rsidRPr="00DF394D">
        <w:rPr>
          <w:rFonts w:ascii="Times New Roman" w:hAnsi="Times New Roman" w:cs="Times New Roman"/>
          <w:i/>
          <w:iCs/>
        </w:rPr>
        <w:t>II knyga Prūsijos demologija, III knyga Prūsijos topografija</w:t>
      </w:r>
      <w:r w:rsidRPr="00DF394D">
        <w:rPr>
          <w:rFonts w:ascii="Times New Roman" w:hAnsi="Times New Roman" w:cs="Times New Roman"/>
        </w:rPr>
        <w:t>, parengė I. Lukšaitė, bendradarbiaudama su V. Gerulaitiene, M. Čiurinsku, I. Tumavičiūte, Vilnius: LII leidykla, 2004, 881 p., ISBN 9986-776-82 (bendras), ISBN 9986-780-58-6 (II tomas);  įvadas – I. Lukšaitė „Matas Pretorijus ir jo Prūsijos įdomybių antroji bei trečioji knygos // Matthäus Prätorius und das zweite und dritte Buch seines Werkes Deliciae Prussicae“, p. 7–43.</w:t>
      </w:r>
    </w:p>
    <w:p w14:paraId="049BACAC"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3.</w:t>
      </w:r>
      <w:r w:rsidRPr="00DF394D">
        <w:rPr>
          <w:rFonts w:ascii="Times New Roman" w:hAnsi="Times New Roman" w:cs="Times New Roman"/>
          <w:i/>
          <w:iCs/>
        </w:rPr>
        <w:t xml:space="preserve"> Keturi Gotfrydo Ostermejerio rankraščiai</w:t>
      </w:r>
      <w:r w:rsidRPr="00DF394D">
        <w:rPr>
          <w:rFonts w:ascii="Times New Roman" w:hAnsi="Times New Roman" w:cs="Times New Roman"/>
        </w:rPr>
        <w:t>, serija Historiae Lituaniae fontes minores, t. III, parengė Vilija Gerulaitienė, LII, Vilnius: Žara, 2002, 159 p; įvadas – V. Gerulaitienė, „Gotfrydas Ostermejeris ir jo lituanistiniai rankraščiai“, p. 7–20 ir dalykiniai komentarai; įvadas – Liucija Citavičiūtė, „Gotfrydo Ostermejerio taisyta Liudviko Rėzos į lietuvių kalbą versta Dovydo psalmė“, p. 21–25.</w:t>
      </w:r>
    </w:p>
    <w:p w14:paraId="633C029F"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4. Elijas Pilgrimovijus, </w:t>
      </w:r>
      <w:r w:rsidRPr="00DF394D">
        <w:rPr>
          <w:rFonts w:ascii="Times New Roman" w:hAnsi="Times New Roman" w:cs="Times New Roman"/>
          <w:i/>
          <w:iCs/>
        </w:rPr>
        <w:t>Didžioji Leono Sapiegos pasiuntinybė į Maskvą, 1600–1601</w:t>
      </w:r>
      <w:r w:rsidRPr="00DF394D">
        <w:rPr>
          <w:rFonts w:ascii="Times New Roman" w:hAnsi="Times New Roman" w:cs="Times New Roman"/>
        </w:rPr>
        <w:t>, serija Historiae Lituaniae fontes minores, t. IV, parengė Jūratė Kiaupienė, LII, Vilnius: Žara, 2002., 111 p.; įvadas – J. Kiaupienė „Elijas Pilgrimovijus – Lietuvos Didžiosios kunigaikštystės diplomatas ir literatatas“, p. 7–14 ir dalykiniai komentarai.</w:t>
      </w:r>
    </w:p>
    <w:p w14:paraId="103D7A30"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5. Jolita Sarcevičienė, </w:t>
      </w:r>
      <w:r w:rsidRPr="00DF394D">
        <w:rPr>
          <w:rFonts w:ascii="Times New Roman" w:hAnsi="Times New Roman" w:cs="Times New Roman"/>
          <w:i/>
          <w:iCs/>
        </w:rPr>
        <w:t>Lietuvos didikės proginėje literatūroje: portretai ir įvaizdžiai</w:t>
      </w:r>
      <w:r w:rsidRPr="00DF394D">
        <w:rPr>
          <w:rFonts w:ascii="Times New Roman" w:hAnsi="Times New Roman" w:cs="Times New Roman"/>
        </w:rPr>
        <w:t>,  Vilnius: Versus aureus, 2005, 684 p. ISBN 9955-601-86-8</w:t>
      </w:r>
    </w:p>
    <w:p w14:paraId="2185308C" w14:textId="77777777" w:rsidR="00DF394D" w:rsidRPr="00DF394D" w:rsidRDefault="00DF394D" w:rsidP="00DF394D">
      <w:pPr>
        <w:rPr>
          <w:rFonts w:ascii="Times New Roman" w:hAnsi="Times New Roman" w:cs="Times New Roman"/>
        </w:rPr>
      </w:pPr>
      <w:r w:rsidRPr="00DF394D">
        <w:rPr>
          <w:rFonts w:ascii="Times New Roman" w:hAnsi="Times New Roman" w:cs="Times New Roman"/>
          <w:b/>
          <w:bCs/>
        </w:rPr>
        <w:t>Straipsniai:</w:t>
      </w:r>
    </w:p>
    <w:p w14:paraId="0DA42BAD"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lastRenderedPageBreak/>
        <w:t xml:space="preserve">1. Lukšaitė, Ingė, „Motiejus Pretorijus – istorikas ir etnografas“, </w:t>
      </w:r>
      <w:r w:rsidRPr="00DF394D">
        <w:rPr>
          <w:rFonts w:ascii="Times New Roman" w:hAnsi="Times New Roman" w:cs="Times New Roman"/>
          <w:i/>
          <w:iCs/>
        </w:rPr>
        <w:t>Nuo Mažvydo iki Vydūno: Karaliaučiaus krašto šviesuoliai</w:t>
      </w:r>
      <w:r w:rsidRPr="00DF394D">
        <w:rPr>
          <w:rFonts w:ascii="Times New Roman" w:hAnsi="Times New Roman" w:cs="Times New Roman"/>
        </w:rPr>
        <w:t>, sud. V. Šilas, Vilnius, 1998, p. 39–50;</w:t>
      </w:r>
    </w:p>
    <w:p w14:paraId="6E2C43E4"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2. Kiaupienė, Jūratė, „Lietuvos Didžiosios Kunigaikštystės riterio vaizdinys Motiejaus Stryjkovskio tekstuose“, </w:t>
      </w:r>
      <w:r w:rsidRPr="00DF394D">
        <w:rPr>
          <w:rFonts w:ascii="Times New Roman" w:hAnsi="Times New Roman" w:cs="Times New Roman"/>
          <w:i/>
          <w:iCs/>
        </w:rPr>
        <w:t>Kultūrų sankirtos</w:t>
      </w:r>
      <w:r w:rsidRPr="00DF394D">
        <w:rPr>
          <w:rFonts w:ascii="Times New Roman" w:hAnsi="Times New Roman" w:cs="Times New Roman"/>
        </w:rPr>
        <w:t>, sud. Zigmantas Kiaupa, Jūratė Kiaupienė, Edmundas Rimša, Jolita Sarcevičienė, LII, Vilnius: Diemedis, 2000, p.117–141;</w:t>
      </w:r>
    </w:p>
    <w:p w14:paraId="33357CF0"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xml:space="preserve">3. Gerulaitienė, Vilija, „Abrahamas Jakobas Penzelis ir Rytų Prūsija“, </w:t>
      </w:r>
      <w:r w:rsidRPr="00DF394D">
        <w:rPr>
          <w:rFonts w:ascii="Times New Roman" w:hAnsi="Times New Roman" w:cs="Times New Roman"/>
          <w:i/>
          <w:iCs/>
        </w:rPr>
        <w:t>Kultūrų sankirtos</w:t>
      </w:r>
      <w:r w:rsidRPr="00DF394D">
        <w:rPr>
          <w:rFonts w:ascii="Times New Roman" w:hAnsi="Times New Roman" w:cs="Times New Roman"/>
        </w:rPr>
        <w:t>, sud. Z. Kiaupa, Jūratė Kiaupienė, Edmundas Rimša, Jolita Sarcevičienė, LII, Vilnius: Diemedis, 2000, p. 326–346;</w:t>
      </w:r>
    </w:p>
    <w:p w14:paraId="2606C773" w14:textId="77777777" w:rsidR="00DF394D" w:rsidRPr="00DF394D" w:rsidRDefault="00DF394D" w:rsidP="00DF394D">
      <w:pPr>
        <w:rPr>
          <w:rFonts w:ascii="Times New Roman" w:hAnsi="Times New Roman" w:cs="Times New Roman"/>
        </w:rPr>
      </w:pPr>
      <w:r w:rsidRPr="00DF394D">
        <w:rPr>
          <w:rFonts w:ascii="Times New Roman" w:hAnsi="Times New Roman" w:cs="Times New Roman"/>
        </w:rPr>
        <w:t>                   Vyriaus. m. b., habil. dr., doc. Ingė Lukšaitė</w:t>
      </w:r>
    </w:p>
    <w:p w14:paraId="50A9BA06" w14:textId="77777777" w:rsidR="006029F1" w:rsidRPr="00DF394D" w:rsidRDefault="006029F1">
      <w:pPr>
        <w:rPr>
          <w:rFonts w:ascii="Times New Roman" w:hAnsi="Times New Roman" w:cs="Times New Roman"/>
        </w:rPr>
      </w:pPr>
    </w:p>
    <w:sectPr w:rsidR="006029F1" w:rsidRPr="00DF39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31"/>
    <w:rsid w:val="00526431"/>
    <w:rsid w:val="006029F1"/>
    <w:rsid w:val="00746098"/>
    <w:rsid w:val="007B7CF3"/>
    <w:rsid w:val="00DF39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277ECC-9D3A-4A5F-9F60-235657F5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431"/>
    <w:rPr>
      <w:rFonts w:eastAsiaTheme="majorEastAsia" w:cstheme="majorBidi"/>
      <w:color w:val="272727" w:themeColor="text1" w:themeTint="D8"/>
    </w:rPr>
  </w:style>
  <w:style w:type="paragraph" w:styleId="Title">
    <w:name w:val="Title"/>
    <w:basedOn w:val="Normal"/>
    <w:next w:val="Normal"/>
    <w:link w:val="TitleChar"/>
    <w:uiPriority w:val="10"/>
    <w:qFormat/>
    <w:rsid w:val="00526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431"/>
    <w:pPr>
      <w:spacing w:before="160"/>
      <w:jc w:val="center"/>
    </w:pPr>
    <w:rPr>
      <w:i/>
      <w:iCs/>
      <w:color w:val="404040" w:themeColor="text1" w:themeTint="BF"/>
    </w:rPr>
  </w:style>
  <w:style w:type="character" w:customStyle="1" w:styleId="QuoteChar">
    <w:name w:val="Quote Char"/>
    <w:basedOn w:val="DefaultParagraphFont"/>
    <w:link w:val="Quote"/>
    <w:uiPriority w:val="29"/>
    <w:rsid w:val="00526431"/>
    <w:rPr>
      <w:i/>
      <w:iCs/>
      <w:color w:val="404040" w:themeColor="text1" w:themeTint="BF"/>
    </w:rPr>
  </w:style>
  <w:style w:type="paragraph" w:styleId="ListParagraph">
    <w:name w:val="List Paragraph"/>
    <w:basedOn w:val="Normal"/>
    <w:uiPriority w:val="34"/>
    <w:qFormat/>
    <w:rsid w:val="00526431"/>
    <w:pPr>
      <w:ind w:left="720"/>
      <w:contextualSpacing/>
    </w:pPr>
  </w:style>
  <w:style w:type="character" w:styleId="IntenseEmphasis">
    <w:name w:val="Intense Emphasis"/>
    <w:basedOn w:val="DefaultParagraphFont"/>
    <w:uiPriority w:val="21"/>
    <w:qFormat/>
    <w:rsid w:val="00526431"/>
    <w:rPr>
      <w:i/>
      <w:iCs/>
      <w:color w:val="0F4761" w:themeColor="accent1" w:themeShade="BF"/>
    </w:rPr>
  </w:style>
  <w:style w:type="paragraph" w:styleId="IntenseQuote">
    <w:name w:val="Intense Quote"/>
    <w:basedOn w:val="Normal"/>
    <w:next w:val="Normal"/>
    <w:link w:val="IntenseQuoteChar"/>
    <w:uiPriority w:val="30"/>
    <w:qFormat/>
    <w:rsid w:val="00526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431"/>
    <w:rPr>
      <w:i/>
      <w:iCs/>
      <w:color w:val="0F4761" w:themeColor="accent1" w:themeShade="BF"/>
    </w:rPr>
  </w:style>
  <w:style w:type="character" w:styleId="IntenseReference">
    <w:name w:val="Intense Reference"/>
    <w:basedOn w:val="DefaultParagraphFont"/>
    <w:uiPriority w:val="32"/>
    <w:qFormat/>
    <w:rsid w:val="005264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7503">
      <w:bodyDiv w:val="1"/>
      <w:marLeft w:val="0"/>
      <w:marRight w:val="0"/>
      <w:marTop w:val="0"/>
      <w:marBottom w:val="0"/>
      <w:divBdr>
        <w:top w:val="none" w:sz="0" w:space="0" w:color="auto"/>
        <w:left w:val="none" w:sz="0" w:space="0" w:color="auto"/>
        <w:bottom w:val="none" w:sz="0" w:space="0" w:color="auto"/>
        <w:right w:val="none" w:sz="0" w:space="0" w:color="auto"/>
      </w:divBdr>
    </w:div>
    <w:div w:id="16044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4363</Words>
  <Characters>2488</Characters>
  <Application>Microsoft Office Word</Application>
  <DocSecurity>0</DocSecurity>
  <Lines>20</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3</cp:revision>
  <dcterms:created xsi:type="dcterms:W3CDTF">2025-03-12T08:32:00Z</dcterms:created>
  <dcterms:modified xsi:type="dcterms:W3CDTF">2025-03-12T08:32:00Z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